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219. “绿色外卖，少一分浪费”——外卖绿色消费（无餐具、绿色积分、环保包装）行为研究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确定行业：15_绿色低碳与循环经济（选择理由：贴合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研究对象：常点外卖的 18—40 岁消费者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核心问题/变量："无需餐具"勾选率、餐具浪费感知、环保积分激励效果、包装评价、绿色意愿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H1："无需餐具"勾选率、餐具浪费感知显著影响绿色意愿（待验证）；H2：不同人群（年龄/收入/城市等级）在上述关系中存在调节作用（待验证）。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🔶外卖绿色消费数据（美团/饿了么绿色行动报告需下载）；✅《反食品浪费法》与限塑政策背景；✅绿色消费理念推广（政策背景）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外卖用户线上问卷+平台数据（订单备注分析）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🔶外卖绿色消费数据（美团/饿了么绿色行动报告需下载）；✅《反食品浪费法》与限塑政策背景；✅绿色消费理念推广（政策背景）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