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026. “绿色赛事，消费有责”——体育赛事观众绿色消费行为与低碳服务需求研究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研究对象：体育赛事观众和参赛者。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核心问题/变量：垃圾分类、绿色交通、循环餐具、碳积分、绿色支付意愿。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H1：垃圾分类、绿色交通显著影响绿色支付意愿。（待验证）；H2：不同人群（年龄/收入/城市等级）在上述关系中存在调节作用（待验证）。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S2，政策提出绿色简约办赛和赛事消费场景建设。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结合具体体育赛事开展现场调研。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S2，政策提出绿色简约办赛和赛事消费场景建设。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