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028. “旧物新生，循环消费”——居民二手家电、二手数码产品交易意愿研究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研究对象：18—45 岁城市居民。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核心问题/变量：价格优势、质量担忧、隐私安全、平台信任、环保意识、交易意愿。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H1：价格优势、质量担忧显著影响交易意愿。（待验证）；H2：不同人群（年龄/收入/城市等级）在上述关系中存在调节作用（待验证）。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S4，新质生产力和绿色消费政策目录；正式参赛前补充商务部门以旧换新政策原文。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比较二手手机、二手家电和二手家具三个品类。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S4，新质生产力和绿色消费政策目录；正式参赛前补充商务部门以旧换新政策原文。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