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362. “绿电直连，自家电自己用”——家庭绿电、储能（光伏+储能+AI管理）消费意愿研究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研究对象：有自建房/别墅或有储电需求的城市家庭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核心问题/变量：绿电认知、光伏+储能组合意愿、AI电费管理接受、成本敏感、政策知晓（绿电直连）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H1：绿电认知、光伏+储能组合意愿显著影响政策知晓（绿电直连）（待验证）；H2：不同人群（年龄/收入/城市等级）在上述关系中存在调节作用（待验证）。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5月国家发改委、能源局《关于有序推动多用户绿电直连发展有关事项的通知》（发改能源〔2026〕688号）把绿电直连扩至"一对多"、优先支持算力/绿色氢氨醇；✅主流N型TOPCon组件市场价0.8—1.1元/W；✅"光伏+储能+AI管理"省钱模式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储能品牌渠道（华宝新能等）+能源社群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5月国家发改委、能源局《关于有序推动多用户绿电直连发展有关事项的通知》（发改能源〔2026〕688号）把绿电直连扩至"一对多"、优先支持算力/绿色氢氨醇；✅主流N型TOPCon组件市场价0.8—1.1元/W；✅"光伏+储能+AI管理"省钱模式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