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363. “闲鱼回血，二手人生”——二手交易平台（闲鱼、转转）消费行为研究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研究对象：在闲鱼/转转买卖过闲置（数码/服饰/家具）的用户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核心问题/变量：买卖品类、定价与砍价、信用/验货信任、纠纷经历、环保认知、买卖频次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H1：买卖品类、定价与砍价显著影响买卖频次（待验证）；H2：不同人群（年龄/收入/城市等级）在上述关系中存在调节作用（待验证）。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✅2025年国内闲置物品交易规模预计突破3万亿元；✅国务院"固废十条"要求至少安排1%左右产业用地扶持资源循环利用；✅"循环经济"理念写入生态环境法典（背景）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二手平台用户社群渠道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✅2025年国内闲置物品交易规模预计突破3万亿元；✅国务院"固废十条"要求至少安排1%左右产业用地扶持资源循环利用；✅"循环经济"理念写入生态环境法典（背景）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