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364. “旧手机旧家电，去哪了”——电子废弃物、旧家电回收消费行为研究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研究对象：处理过旧手机/旧家电/旧衣物的家庭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核心问题/变量：处置方式（回收/闲置/丢弃）、上门回收使用、渠道信任（隐私清除）、换新补贴联动、绿色认知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处置方式（回收/闲置/丢弃）、上门回收使用（绿色认知）之间存在可检验的关系，且受群体差异（年龄/收入/地区/身份）调节（待验证）；H2：处置方式（回收/闲置/丢弃）、上门回收使用是影响绿色认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3月工信部等六部门《关于促进光伏组件综合利用的指导意见》：2027年光伏组件综合利用量累计达25万吨；✅2025年以旧换新带动家电销售超26万亿元（第十一轮证据）；✅3C"以旧换新"国标（市场监管总局2026，第七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家电卖场以旧换新点+社区渠道；与61题（以旧换新）区分：聚焦回收端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3月工信部等六部门《关于促进光伏组件综合利用的指导意见》：2027年光伏组件综合利用量累计达25万吨；✅2025年以旧换新带动家电销售超26万亿元（第十一轮证据）；✅3C"以旧换新"国标（市场监管总局2026，第七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