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514. “共享衣橱，循环时尚”——服装租赁、租衣平台的消费意愿研究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研究对象：关注时尚的 18—35 岁女性及租衣平台用户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核心问题/变量：租衣动机（穿新/环保/试错成本）、场景（通勤/礼服/旅行）、平台价格与卫生信任、与购买相比的决策逻辑、循环时尚认同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H1：租衣动机（穿新/环保/试错成本）、场景（通勤/礼服/旅行）显著影响循环时尚认同（待验证）；H2：不同人群（年龄/收入/城市等级）在上述关系中存在调节作用（待验证）。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🔶租衣/循环时尚平台案例与数据（行业报告须下载核验）；✅绿色消费促进政策（发改委等）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租衣平台社群问卷+平台访谈；区别于217（古着购买）、363（二手闲置卖出）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🔶租衣/循环时尚平台案例与数据（行业报告须下载核验）；✅绿色消费促进政策（发改委等）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