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064. “政策红包，效应几何”——以旧换新政策红利消退期的居民消费意愿变化研究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研究对象：近两年使用过国补/了解国补政策的消费者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核心问题/变量：政策依赖度、边际效应感知、消费透支感知、真实需求、后续购买意愿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H1：政策依赖度、边际效应感知显著影响后续购买意愿（待验证）；H2：不同人群（年龄/收入/城市等级）在上述关系中存在调节作用（待验证）。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🔶2026Q1家电零售规模同比下滑6.2%、5月家电类社零降幅扩大至15.6%（政策拉动效应减弱信号，行业报道待核验）；✅2026年国家继续实施以旧换新（697号文）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对比已参与/未参与人群，问卷+访谈结合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🔶2026Q1家电零售规模同比下滑6.2%、5月家电类社零降幅扩大至15.6%（政策拉动效应减弱信号，行业报道待核验）；✅2026年国家继续实施以旧换新（697号文）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