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066. “能效升级，绿色家电”——一级能效家电补贴下居民绿色消费行为研究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研究对象：近一年购买过家电的居民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核心问题/变量：能效认知、绿色价值观、补贴影响、购买决策、使用评价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H1：能效认知、绿色价值观显著影响使用评价（待验证）；H2：不同人群（年龄/收入/城市等级）在上述关系中存在调节作用（待验证）。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✅补贴限一级能效/水效产品（6类家电15%补贴，697号文）；✅绿色消费政策导向（国家发展改革委等稳增长扩消费政策）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家电卖场消费者拦截问卷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✅补贴限一级能效/水效产品（6类家电15%补贴，697号文）；✅绿色消费政策导向（国家发展改革委等稳增长扩消费政策）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