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674. “空瓶回收计划，瓶瓶有请”——化妆品空瓶回收与品牌ESG消费研究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研究对象：参与品牌空瓶回收计划（美妆/咖啡）的消费者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核心问题/变量：空瓶回收参与度、激励（积分/赠品）吸引、品牌ESG形象感知、回收旅程（快递/门店）、可持续消费认同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H1：空瓶回收参与度、激励（积分/赠品）吸引显著影响可持续消费认同（待验证）；H2：不同人群（年龄/收入/城市等级）在上述关系中存在调节作用（待验证）。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🔶品牌空瓶回收计划报道（时尚媒体须下载核验）；✅绿色消费实施方案（发改委）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品牌会员社群问卷+品牌方访谈；获奖黑名单核对：近三年无空瓶回收获奖题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🔶品牌空瓶回收计划报道（时尚媒体须下载核验）；✅绿色消费实施方案（发改委）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