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748. “净水器滤芯，换芯经济学”——净水器与滤芯更换消费研究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研究对象：使用净水器（RO/超滤）的家庭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核心问题/变量：净水器购买动机（水质焦虑）、滤芯更换周期与费用、更换提醒与上门服务、与桶装水/直饮水对比、品牌信任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H1：净水器购买动机（水质焦虑）、滤芯更换周期与费用显著影响品牌信任（待验证）；H2：不同人群（年龄/收入/城市等级）在上述关系中存在调节作用（待验证）。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🔶净水器市场数据（行业报告须下载核验）；✅饮用水安全标准（卫健委）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家电渠道问卷+净水服务商访谈；获奖黑名单核对：近三年无净水器消费获奖题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🔶净水器市场数据（行业报告须下载核验）；✅饮用水安全标准（卫健委）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