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785. “绿色家电下乡，以旧换新进村”——农村绿色家电（能效升级）以旧换新研究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建议地区：农村（可按省/市细化抽样框）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确定行业：15_绿色低碳与循环经济（选择理由：贴合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研究对象：参与家电以旧换新/购买节能家电的农村居民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核心问题/变量：农村换新补贴知晓、旧家电回收处理、能效等级认知、绿色家电购买意愿（一级能效）、渠道（乡镇网点）与障碍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农村换新补贴知晓、旧家电回收处理（渠道（乡镇网点）与障碍）之间存在可检验的关系，且受群体差异（年龄/收入/地区/身份）调节（待验证）；H2：农村换新补贴知晓、旧家电回收处理是影响渠道（乡镇网点）与障碍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✅家电以旧换新与绿色智能政策（发改委、商务部）；🔶农村家电销售数据（须下载核验）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农村渠道问卷+乡镇经销商访谈；获奖黑名单核对：近三年无农村家电换新获奖题（区别于65家电下乡泛题）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✅家电以旧换新与绿色智能政策（发改委、商务部）；🔶农村家电销售数据（须下载核验）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