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807. “共享单车报废潮，骑行碳减排”——共享单车废旧车辆回收与循环利用研究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确定行业：15_绿色低碳与循环经济（选择理由：贴合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研究对象：共享单车运营企业、回收处理企业、骑行用户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核心问题/变量：报废车辆数量感知、回收处理链（拆解/再生）、用户骑行碳减排认知、减量循环参与（旧车翻新）、绿色出行激励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报废车辆数量感知、回收处理链（拆解/再生）（绿色出行激励）之间存在可检验的关系，且受群体差异（年龄/收入/地区/身份）调节（待验证）；H2：报废车辆数量感知、回收处理链（拆解/再生）是影响绿色出行激励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🔶共享单车报废回收报道（央媒须下载核验）；✅循环经济促进法（发改委）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运营企业访谈+用户问卷；获奖黑名单核对：近三年无共享单车回收获奖题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🔶共享单车报废回收报道（央媒须下载核验）；✅循环经济促进法（发改委）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