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090. “绿色消费，碳迹可见”——居民碳普惠、绿色消费行为与激励感知研究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研究对象：参与过碳积分/绿色消费活动（绿色出行/循环利用/低碳家电）的居民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核心问题/变量：环保态度、碳普惠认知、行为参与、激励效果感知、持续意愿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H1：环保态度、碳普惠认知显著影响持续意愿（待验证）；H2：不同人群（年龄/收入/城市等级）在上述关系中存在调节作用（待验证）。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🔶多地碳普惠平台试点（深圳"碳普惠"、北京"绿色生活季"等，待核验具体文件）；✅一级能效家电以旧换新补贴（697号文，绿色消费政策联动）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绿色出行App/社区垃圾分类/低碳门店渠道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🔶多地碳普惠平台试点（深圳"碳普惠"、北京"绿色生活季"等，待核验具体文件）；✅一级能效家电以旧换新补贴（697号文，绿色消费政策联动）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