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033. “棉花娃娃，娃圈经济”——棉花娃娃、娃衣与娃圈消费行为研究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研究对象：棉花娃娃玩家（“娃妈/娃爸”）及为娃消费的 15—35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核心问题/变量：入坑动机（IP 情感寄托、装扮陪伴、解压）、娃与娃衣消费金额与频次、娃圈社交（晒娃、娃展、娃群）、定制与二创参与、与谷子/手办消费的比较与交叉、情感满足与复购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H1：入坑动机（IP 情感寄托、装扮陪伴显著影响情感满足与复购（待验证）；H2：不同人群（年龄/收入/城市等级）在上述关系中存在调节作用（待验证）。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🔶棉花娃娃“娃圈经济”规模与娃衣产业（行业媒体、电商平台数据须下载原文核验）；✅2025 年中国谷子经济市场规模 2021 亿元、同比增 19.66%，2026 年预计 2265 亿元（央广网，第二批证据）；✅泛二次元用户超 5.2 亿人（第二批证据）；🔶娃圈定制、娃展活动报道（媒体线索需核验）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娃圈社群（微博超话、小红书、闲鱼娃圈）渠道成熟；问卷+访谈可并行；与032（谷子经济）区分：聚焦棉花娃娃专项与娃衣产业链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🔶棉花娃娃“娃圈经济”规模与娃衣产业（行业媒体、电商平台数据须下载原文核验）；✅2025 年中国谷子经济市场规模 2021 亿元、同比增 19.66%，2026 年预计 2265 亿元（央广网，第二批证据）；✅泛二次元用户超 5.2 亿人（第二批证据）；🔶娃圈定制、娃展活动报道（媒体线索需核验）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