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1037. “二次元婚礼，痛并快乐着”——二次元主题婚礼（痛婚礼）消费研究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研究对象：举办/参加二次元主题婚礼（角色婚礼、痛婚礼）的新人与宾客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核心问题/变量：二次元婚礼形式（角色扮演/主题布置）、婚庆策划消费、家长接受度（传统vs二次元）、婚宴仪式创新、出圈传播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H1：二次元婚礼形式（角色扮演/主题布置）、婚庆策划消费显著影响出圈传播（待验证）；H2：不同人群（年龄/收入/城市等级）在上述关系中存在调节作用（待验证）。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🔶婚庆服务规范（商务部）；🔶二次元婚礼报道（青年媒体须下载核验）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婚庆渠道+新人问卷；获奖黑名单核对：近三年无二次元婚礼获奖题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🔶婚庆服务规范（商务部）；🔶二次元婚礼报道（青年媒体须下载核验）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