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103. “国乙世界，恋爱代偿”——国产乙女游戏消费行为与情感需求研究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确定行业：16_二次元与青年潮流（选择理由：贴合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研究对象：玩过国产乙女游戏（恋与深空/光与夜之恋/如鸢等）的女性玩家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核心问题/变量：消费动机（情感代偿/剧情沉浸/收藏）、月均氪金、周边（谷子）消费、情感满足、消费争议感知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H1：消费动机（情感代偿/剧情沉浸/收藏）、月均氪金显著影响消费争议感知（待验证）；H2：不同人群（年龄/收入/城市等级）在上述关系中存在调节作用（待验证）。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✅《恋与深空》2026年4月国服流水约2.55亿元、女性向手游"28连冠"（七麦/Sensor Tower，🔶口径）；✅截至2026年3月全球累计收入超10亿美元；✅新四大国乙2024年10月合计流水7.28亿元（36氪）；✅天猫旗舰店开业3天购物金破2.1亿元（凤凰网科技）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乙游社群/超话渠道，样本易得且热情高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✅《恋与深空》2026年4月国服流水约2.55亿元、女性向手游"28连冠"（七麦/Sensor Tower，🔶口径）；✅截至2026年3月全球累计收入超10亿美元；✅新四大国乙2024年10月合计流水7.28亿元（36氪）；✅天猫旗舰店开业3天购物金破2.1亿元（凤凰网科技）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