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111. “国漫国游，文化自信”——国产动画、游戏 IP 衍生消费与国潮认同研究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研究对象：消费过国漫/国游周边（谷子、手办、联名）的 Z 世代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核心问题/变量：IP 偏好、消费动机（热爱/收藏/社交）、国潮认同、月均支出、替代进口 IP 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H1：IP 偏好、消费动机（热爱/收藏/社交）显著影响替代进口 IP 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✅谷子经济2025年规模超2000亿元（第二批已核验：2025年2021亿、2026年2265亿，可复用）；✅国乙/黑神话现象级表现（本批证据链接）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谷子店/漫展/线上社群渠道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✅谷子经济2025年规模超2000亿元（第二批已核验：2025年2021亿、2026年2265亿，可复用）；✅国乙/黑神话现象级表现（本批证据链接）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