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1251. “谷子店倒闭潮，吃谷退烧？”——谷子店经营（倒闭潮、转型）研究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研究对象：开谷子店/在谷子店消费的店主与二次元消费者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核心问题/变量：谷子店开店潮（2024-2025）与倒闭潮（2026）、进货与滞销（冷门IP）、客群（学生/上班族）、线上代购冲击、转型方向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H1：谷子店开店潮（2024-2025）与倒闭潮（2026）、进货与滞销（冷门IP）显著影响转型方向（待验证）；H2：不同人群（年龄/收入/城市等级）在上述关系中存在调节作用（待验证）。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🔶谷子经济报道（央媒须下载核验）；🔶谷子市场数据（行业报告须下载核验）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谷子店店主问卷+商圈调研；获奖黑名单核对：近三年无谷子店倒闭潮获奖题（区别于858谷子开店潮，聚焦洗牌转型）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🔶谷子经济报道（央媒须下载核验）；🔶谷子市场数据（行业报告须下载核验）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