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1253. “痛包2.0，痛衣痛车痛房间”——痛文化（痛衣、痛包、痛房间）消费研究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研究对象：制作痛衣/痛包/痛房间的二次元爱好者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核心问题/变量：痛文化延伸（痛衣/痛鞋/痛房间）、周边徽章吧唧消费、痛包DIY制作（材料包）、展示与社交（出街）、投入金额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H1：痛文化延伸（痛衣/痛鞋/痛房间）、周边徽章吧唧消费显著影响投入金额（待验证）；H2：不同人群（年龄/收入/城市等级）在上述关系中存在调节作用（待验证）。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🔶谷子与痛文化报道（青年媒体须下载核验）；🔶周边衍生消费数据（须下载核验）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二次元社群问卷+谷子店访谈；获奖黑名单核对：近三年无痛衣痛房间获奖题（区别于832痛包，聚焦延伸品类）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🔶谷子与痛文化报道（青年媒体须下载核验）；🔶周边衍生消费数据（须下载核验）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