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1255. “二次元自习室，同好打卡学习”——二次元主题自习空间（学习型消费）研究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研究对象：光顾二次元主题自习室/联名自习空间的用户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核心问题/变量：二次元自习空间（谷子展示/角色陪伴）、学习动机（打卡沉浸）、与传统自习室对比、联名IP吸引、续费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H1：二次元自习空间（谷子展示/角色陪伴）、学习动机（打卡沉浸）显著影响续费（待验证）；H2：不同人群（年龄/收入/城市等级）在上述关系中存在调节作用（待验证）。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🔶付费自习室与共享空间规范（市场监管总局）；🔶主题自习室案例（须下载核验）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主题自习室问卷+运营方访谈；获奖黑名单核对：近三年无二次元自习室获奖题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🔶付费自习室与共享空间规范（市场监管总局）；🔶主题自习室案例（须下载核验）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