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1256. “同人展摆摊，为爱发电——同人展摊主经济研究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研究对象：在同人展（CP/COMICUP类）摆摊的同人创作者（摊主）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核心问题/变量：同人展摊位申请（抢摊/画师约稿）、同人志/周边制作成本、摊位收入（回本/盈利）、线下贩售体验、摊主社群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H1：同人展摊位申请（抢摊/画师约稿）、同人志/周边制作成本显著影响摊主社群（待验证）；H2：不同人群（年龄/收入/城市等级）在上述关系中存在调节作用（待验证）。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🔶同人展会活动规范（文旅部）；🔶同人展规模数据（须下载核验）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同人展摊主问卷+主办方访谈；获奖黑名单核对：近三年无同人展摊主获奖题（区别于765同人创作，聚焦展会摆摊经营）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🔶同人展会活动规范（文旅部）；🔶同人展规模数据（须下载核验）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