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1260. “二次元咖啡店打工，赛博打工”——二次元主题咖啡店（打工体验）研究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研究对象：在二次元主题咖啡/女仆执事店兼职打工的年轻人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核心问题/变量：二次元咖啡打工（角色扮演服务）、时薪与小费、宅文化体验（入坑）、与常规餐饮打工对比、社交、短期流动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H1：二次元咖啡打工（角色扮演服务）、时薪与小费显著影响短期流动（待验证）；H2：不同人群（年龄/收入/城市等级）在上述关系中存在调节作用（待验证）。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🔶餐饮服务业用工规范（人社部）；🔶二次元餐饮从业数据（须下载核验）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主题咖啡店员工问卷+店主访谈；获奖黑名单核对：近三年无二次元咖啡打工获奖题（区别于734/874主题餐厅消费，聚焦从业端）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🔶餐饮服务业用工规范（人社部）；🔶二次元餐饮从业数据（须下载核验）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