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1271. “二次元相亲局，同好脱单”——二次元主题相亲、交友（同好脱单）研究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研究对象：参加二次元主题相亲/交友活动的单身青年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核心问题/变量：二次元相亲形式（同好局/Coser主持）、脱单需求（同圈层）、与传统相亲对比（共同语言）、活动费用、成功率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次元相亲形式（同好局/Coser主持）、脱单需求（同圈层）（成功率）之间存在可检验的关系，且受群体差异（年龄/收入/地区/身份）调节（待验证）；H2：二次元相亲形式（同好局/Coser主持）、脱单需求（同圈层）是影响成功率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🔶婚恋交友活动规范（民政部门）；🔶二次元相亲活动报道（须下载核验）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活动主办方问卷+参与者访谈；获奖黑名单核对：近三年无二次元相亲获奖题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🔶婚恋交友活动规范（民政部门）；🔶二次元相亲活动报道（须下载核验）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