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1273. “角色生日应援，地铁大屏”——角色生日应援（大屏、广告）消费研究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研究对象：为纸片人/偶像生日做应援（地铁大屏/粉丝集资）的粉丝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核心问题/变量：角色生日应援（大屏/灯箱/公益应援）、粉丝集资（金额）、应援形式（公益/广告）、圈内地位（排面）、争议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H1：角色生日应援（大屏/灯箱/公益应援）、粉丝集资（金额）显著影响争议（待验证）；H2：不同人群（年龄/收入/城市等级）在上述关系中存在调节作用（待验证）。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🔶广告内容与粉丝应援规范（市场监管总局）；🔶生日应援数据（须下载核验）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粉丝社群问卷+广告代理访谈；获奖黑名单核对：近三年无角色生日应援获奖题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🔶广告内容与粉丝应援规范（市场监管总局）；🔶生日应援数据（须下载核验）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