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1274. “二次元养老，退坑出坑”——二次元退坑（出坑、淡圈）现象研究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研究对象：从二次元/谷圈退坑或淡圈的年轻人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核心问题/变量：退坑原因（热情消退/现实压力）、退坑处理（出谷/留谷）、淡圈状态（偶尔关注）、年龄增长影响、回坑可能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H1：退坑原因（热情消退/现实压力）、退坑处理（出谷/留谷）显著影响回坑可能（待验证）；H2：不同人群（年龄/收入/城市等级）在上述关系中存在调节作用（待验证）。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🔶青年文化消费研究（学术报告须下载核验）；🔶退坑话题数据（社交平台须下载核验）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退坑社群问卷+访谈；获奖黑名单核对：近三年无二次元退坑获奖题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🔶青年文化消费研究（学术报告须下载核验）；🔶退坑话题数据（社交平台须下载核验）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