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1276. “国漫出海2.0，中国动画全球”——国漫出海（海外平台）观众研究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研究对象：观看出海国漫（海外平台/剧场版）的海外观众与国内行业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核心问题/变量：国漫出海（网飞/海外院线）、海外观众接受（中式美学/玄幻）、文化输出、票房与流媒体数据、改编IP、配音本地化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漫出海（网飞/海外院线）、海外观众接受（中式美学/玄幻）（配音本地化）之间存在可检验的关系，且受群体差异（年龄/收入/地区/身份）调节（待验证）；H2：国漫出海（网飞/海外院线）、海外观众接受（中式美学/玄幻）是影响配音本地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🔶动漫产业与出海支持政策（广电总局、文旅部）；🔶国漫出海数据（须下载核验）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海外观众问卷+国漫发行方访谈；获奖黑名单核对：近三年无国漫出海获奖题（区别于184短剧出海、1015长剧出海，聚焦动画）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🔶动漫产业与出海支持政策（广电总局、文旅部）；🔶国漫出海数据（须下载核验）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