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1278. “马面裙日常化，汉服通勤”——马面裙、汉服（通勤日常化）消费研究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确定行业：16_二次元与青年潮流（选择理由：贴合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研究对象：日常穿着马面裙/汉服（通勤/上学）的年轻人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核心问题/变量：汉服日常化（马面裙百搭）、日常穿着场景（上班/地铁）、价格带与版型、外人眼光（穿着压力）、复购与衣柜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H1：汉服日常化（马面裙百搭）、日常穿着场景（上班/地铁）显著影响复购与衣柜（待验证）；H2：不同人群（年龄/收入/城市等级）在上述关系中存在调节作用（待验证）。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🔶国潮服饰与新中式消费政策（商务部）；🔶汉服日常化数据（须下载核验）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汉服社群问卷+汉服品牌访谈；获奖黑名单核对：近三年无汉服日常化获奖题（区别于192三坑日常化泛题，聚焦马面裙单品）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🔶国潮服饰与新中式消费政策（商务部）；🔶汉服日常化数据（须下载核验）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