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1280. “手作饰品摊，摆摊新青年”——手作饰品（市集摆摊）青年创业研究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研究对象：市集摆摊卖手作饰品/文创的青年摊主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核心问题/变量：手作摆摊（串珠/钩织/手账）、市集摊位费与收入、小红书引流（线上到线下）、爆款（多巴胺手串）、全职/兼职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手作摆摊（串珠/钩织/手账）、市集摊位费与收入（全职/兼职）之间存在可检验的关系，且受群体差异（年龄/收入/地区/身份）调节（待验证）；H2：手作摆摊（串珠/钩织/手账）、市集摊位费与收入是影响全职/兼职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🔶个体经营与市集经济政策（市场监管总局）；🔶手作市场数据（须下载核验）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市集摊主问卷+主办方访谈；获奖黑名单核对：近三年无手作饰品摆摊获奖题（区别于747摆摊经济，聚焦手作文创品类）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🔶个体经营与市集经济政策（市场监管总局）；🔶手作市场数据（须下载核验）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