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151. “卡牌收藏，一卡千金”——TCG、收藏卡牌青少年消费行为研究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研究对象：收藏或对战集换式卡牌（宝可梦/游戏王/奥特曼卡等）的玩家或家长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核心问题/变量：入坑途径、月均支出、稀有卡追逐、社交属性、过度消费认知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H1：入坑途径、月均支出显著影响过度消费认知（待验证）；H2：不同人群（年龄/收入/城市等级）在上述关系中存在调节作用（待验证）。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✅中国集换式卡牌2024年约263亿元、2029年预计446亿元（CAGR 11.1%）；✅卡游等头部企业营收三位数增长；✅泛二次元用户5.03亿人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卡牌店/卡游渠道+学校周边；与谷子经济（第二批32）区分：聚焦竞技收藏卡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✅中国集换式卡牌2024年约263亿元、2029年预计446亿元（CAGR 11.1%）；✅卡游等头部企业营收三位数增长；✅泛二次元用户5.03亿人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