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152. “拆卡直播间，一盒一惊喜”——直播拆卡、盲盒卡包消费行为与冲动消费研究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研究对象：在直播间购买过拆卡/卡包（乌龟对对碰、拆包代拆）的消费者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核心问题/变量：观看动机、单次消费、成瘾风险感知、退货维权、理性回归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H1：观看动机、单次消费显著影响理性回归（待验证）；H2：不同人群（年龄/收入/城市等级）在上述关系中存在调节作用（待验证）。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🔶拆卡直播为2025—2026现象级消费（媒体关注"拆卡直播"乱象与监管，需引原文）；✅泛娱乐卡牌市场2025年破300亿元、2027年或冲击500亿元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拆卡直播间用户访谈+消费数据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🔶拆卡直播为2025—2026现象级消费（媒体关注"拆卡直播"乱象与监管，需引原文）；✅泛娱乐卡牌市场2025年破300亿元、2027年或冲击500亿元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