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153. “卡牌二级市场，收藏即投资”——卡牌二手交易、收藏投资意愿研究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研究对象：参与卡牌二手交易（懂淘/闲鱼/卡淘）的玩家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核心问题/变量：交易习惯、价格波动认知、投资心态vs收藏心态、平台信任、风险感知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H1：交易习惯、价格波动认知（风险感知）之间存在可检验的关系，且受群体差异（年龄/收入/地区/身份）调节（待验证）；H2：交易习惯、价格波动认知是影响风险感知的关键因素（待验证）。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✅PTCG占国内TCG交易市场七成以上成交额、宝可梦相关成交订单破1亿单（艾瑞2026H1）；✅懂淘2026卡牌季度报告（二级市场交易维度，🔶需下载原文）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卡牌交易平台/卡店渠道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✅PTCG占国内TCG交易市场七成以上成交额、宝可梦相关成交订单破1亿单（艾瑞2026H1）；✅懂淘2026卡牌季度报告（二级市场交易维度，🔶需下载原文）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