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154. “宝可梦卡牌，破圈社交”——宝可梦、精灵宝可梦卡牌玩家圈层与社交消费研究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确定行业：16_二次元与青年潮流（选择理由：贴合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研究对象：宝可梦卡牌（PTCG）玩家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核心问题/变量：入坑动机（IP热爱/对战/收藏）、赛事参与、圈层社交、月均支出、退坑原因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H1：入坑动机（IP热爱/对战/收藏）、赛事参与显著影响退坑原因（待验证）；H2：不同人群（年龄/收入/城市等级）在上述关系中存在调节作用（待验证）。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✅PTCG占国内TCG交易七成成交额（艾瑞）；✅2024年中国泛二次元用户5.03亿人（潜在用户基础）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卡牌道馆赛/漫展/线上对战群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✅PTCG占国内TCG交易七成成交额（艾瑞）；✅2024年中国泛二次元用户5.03亿人（潜在用户基础）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