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157. “电竞酒店，开黑新据点”——Z世代电竞酒店消费行为与满意度研究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研究对象：去过电竞酒店/电竞房的 18—30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核心问题/变量：选择因素（设备/私密/社交）、消费频次金额、与网咖网吧对比、满意度、复购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H1：选择因素（设备/私密/社交）、消费频次金额显著影响复购（待验证）；H2：不同人群（年龄/收入/城市等级）在上述关系中存在调节作用（待验证）。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✅电竞酒店市场规模预计150亿元、连续五年+25%增速、存量门店近3万家（行业报告）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电竞酒店门店现场+游戏社群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✅电竞酒店市场规模预计150亿元、连续五年+25%增速、存量门店近3万家（行业报告）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