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158. “电竞+文旅，新业态”——电竞观赛、电竞小镇、电竞嘉年华消费需求研究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建议地区：全国（可落地为任一代表性城市/县域，按当地资源细化抽样）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确定行业：16_二次元与青年潮流（选择理由：贴合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研究对象：观看过电竞赛事（LPL/KPL/线下赛）的观众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核心问题/变量：观赛方式（现场/直播）、票务消费、衍生品、文旅结合（电竞+城市游）、满意度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H1：观赛方式（现场/直播）、票务消费显著影响满意度（待验证）；H2：不同人群（年龄/收入/城市等级）在上述关系中存在调节作用（待验证）。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🔶电竞观赛市场规模（艾瑞电竞报告需下载核对）；✅中国电竞产业规模数据（《2025年度中国电竞产业报告》：赛事收入等，🔶需引用原文）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电竞赛事现场/直播社群渠道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🔶电竞观赛市场规模（艾瑞电竞报告需下载核对）；✅中国电竞产业规模数据（《2025年度中国电竞产业报告》：赛事收入等，🔶需引用原文）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