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159. “客厅大屏，主机回归”——主机游戏（Switch、PS5）消费行为与家庭娱乐空间研究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研究对象：拥有主机游戏设备的 18—40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核心问题/变量：购机动机、游戏支出（实体/数字）、家庭场景使用、与移动端游戏对比、满意度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H1：购机动机、游戏支出（实体/数字）显著影响满意度（待验证）；H2：不同人群（年龄/收入/城市等级）在上述关系中存在调节作用（待验证）。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🔶我国主机游戏市场扩容（《2025中国游戏产业报告》：主机收入增长，🔶需下载核对）；✅数字娱乐与家庭消费升级背景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主机游戏社群/电玩店渠道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🔶我国主机游戏市场扩容（《2025中国游戏产业报告》：主机收入增长，🔶需下载核对）；✅数字娱乐与家庭消费升级背景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