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161. “手机游戏，钱包战场”——手游内购消费行为与理性消费研究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研究对象：玩手游且有内购经历（含抽卡）的 18—30 岁用户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核心问题/变量：月均内购、抽卡动机、保底机制认知、后悔感/理性、防沉迷自律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H1：月均内购、抽卡动机显著影响防沉迷自律（待验证）；H2：不同人群（年龄/收入/城市等级）在上述关系中存在调节作用（待验证）。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🔶移动游戏收入占比（2026上半年移动游戏收入占比超七成，检索信息）；✅未成年人防沉迷新规（方向见板块十）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手游社区/校园渠道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🔶移动游戏收入占比（2026上半年移动游戏收入占比超七成，检索信息）；✅未成年人防沉迷新规（方向见板块十）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