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192. “三坑出街，日常化穿搭”——三坑服饰（JK、Lolita、汉服）日常化消费行为研究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研究对象：拥有三坑服饰并将其用于日常穿着的 15—35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核心问题/变量：入坑历程、穿着场景（日常/漫展/通勤）、月均支出、工艺版型偏好、圈层认同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H1：入坑历程、穿着场景（日常/漫展/通勤）显著影响圈层认同（待验证）；H2：不同人群（年龄/收入/城市等级）在上述关系中存在调节作用（待验证）。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✅2025年"三坑"市场规模超1200亿元（行业🔶）；✅2026上半年洛丽塔连衣裙+135%、JK制服+125%、古风国风套装+134%、618同比近100%；✅三坑服饰日常化趋势（淘宝《2026潮玩新机会报告》🔶）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三坑实体店/线上社群渠道；与112题（汉服簪花旅拍）区分：聚焦日常穿搭消费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✅2025年"三坑"市场规模超1200亿元（行业🔶）；✅2026上半年洛丽塔连衣裙+135%、JK制服+125%、古风国风套装+134%、618同比近100%；✅三坑服饰日常化趋势（淘宝《2026潮玩新机会报告》🔶）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