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194. “IP联名餐厅，二次元吃饭”——二次元IP主题餐饮、联名消费行为研究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确定行业：16_二次元与青年潮流（选择理由：贴合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研究对象：为IP联名餐饮（原神/柯南/二次元主题店等）消费过的 Z 世代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核心问题/变量：打卡动机（IP热爱/限定周边）、单次消费、菜品评价、周边获取、复购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H1：打卡动机（IP热爱/限定周边）、单次消费显著影响复购（待验证）；H2：不同人群（年龄/收入/城市等级）在上述关系中存在调节作用（待验证）。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✅IP联名餐饮为常态打法：康师傅冰红茶、雀巢脆脆鲨联名原神；✅单场漫展拉动上亿元消费（餐饮联名周边）；✅二次元IP渗透餐饮/美妆/出行场景（行业趋势🔶）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联名餐厅现场调研+谷子社群渠道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✅IP联名餐饮为常态打法：康师傅冰红茶、雀巢脆脆鲨联名原神；✅单场漫展拉动上亿元消费（餐饮联名周边）；✅二次元IP渗透餐饮/美妆/出行场景（行业趋势🔶）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