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195. “Cos妆造，出片经济”——Cosplay妆造、约拍服务消费行为研究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建议地区：广州（可按省/市细化抽样框）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研究对象：约过Cos妆娘/摄影师（漫展约拍）的Coser或爱好者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核心问题/变量：约拍频率、妆造价格接受、摄影套餐、出片满意度、圈层社交、支出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H1：约拍频率、妆造价格接受显著影响支出（待验证）；H2：不同人群（年龄/收入/城市等级）在上述关系中存在调节作用（待验证）。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✅BW2026期间约拍上涨97%、妆造交易额上涨40%（平台数据🔶）；✅广州漫展单场拉动上亿元消费；🔶"妆娘""摄影师"成为二次元新职业（媒体）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漫展现场+妆娘摄影师访谈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✅BW2026期间约拍上涨97%、妆造交易额上涨40%（平台数据🔶）；✅广州漫展单场拉动上亿元消费；🔶"妆娘""摄影师"成为二次元新职业（媒体）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