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196. “吃谷×三坑，圈层交叉”——谷子与三坑服饰圈层交叉消费行为研究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研究对象：同时消费谷子（周边）与三坑服饰的泛二次元用户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核心问题/变量：消费结构（谷子vs服饰）、IP偏好、月均支出、圈层社交、收藏展示、预算分配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H1：消费结构（谷子vs服饰）、IP偏好显著影响预算分配（待验证）；H2：不同人群（年龄/收入/城市等级）在上述关系中存在调节作用（待验证）。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✅"吃谷"是情感消费的极致形态、三坑/潮玩/谷子人群高度重叠（行业分析🔶）；✅泛二次元用户5.03亿人（中邮证券）；✅谷子经济2025年2021亿元（第二批已核验）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漫展/谷子店/三坑店渠道；与32题（谷子）区分：聚焦"谷子×三坑"交叉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✅"吃谷"是情感消费的极致形态、三坑/潮玩/谷子人群高度重叠（行业分析🔶）；✅泛二次元用户5.03亿人（中邮证券）；✅谷子经济2025年2021亿元（第二批已核验）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