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210. “电竞馆转型，社交新据点”——网吧、电竞馆向社交娱乐空间转型的消费需求研究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研究对象：去过转型电竞馆/综合娱乐空间（电竞+桌游+影音）的消费者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核心问题/变量：到店动机（组队/聚会/赛事观赛）、消费结构、与纯网咖对比、满意度、会员意愿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H1：到店动机（组队/聚会/赛事观赛）、消费结构显著影响会员意愿（待验证）；H2：不同人群（年龄/收入/城市等级）在上述关系中存在调节作用（待验证）。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✅电竞酒店150亿元、5年+25%（行业数据，类比支撑）；🔶网咖行业转型"电竞馆/网咖2.0"（媒体）；✅电竞产业规模（中国音数协报告🔶需下载）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电竞馆门店现场+游戏社群；与157题（电竞酒店）区分：聚焦日间娱乐空间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✅电竞酒店150亿元、5年+25%（行业数据，类比支撑）；🔶网咖行业转型"电竞馆/网咖2.0"（媒体）；✅电竞产业规模（中国音数协报告🔶需下载）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