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034. “情绪疗愈，解压有道”——青年情绪疗愈型消费（香薰、冥想、解压馆）需求研究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研究对象：18—35 岁有压力情绪的都市青年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核心问题/变量：压力感知、疗愈消费动机、支付意愿、满意度、重复消费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H1：压力感知、疗愈消费动机显著影响重复消费（待验证）；H2：不同人群（年龄/收入/城市等级）在上述关系中存在调节作用（待验证）。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