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360. “节日仪式感，就爱整活”——节日、节气仪式感消费（跨年、主题派对、节气体验）研究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研究对象：参与节日仪式感消费（跨年烟花/圣诞/节气打卡）的 18—35 岁青年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核心问题/变量：仪式感消费项目、人均支出、动机（情绪/社交/出片）、消费疲劳、理性边界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H1：仪式感消费项目、人均支出显著影响理性边界（待验证）；H2：不同人群（年龄/收入/城市等级）在上述关系中存在调节作用（待验证）。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🔶"仪式感消费"（媒体/新消费观察）；✅情绪经济27186亿元（已核验）；✅"i人经济"独处消费（第五六轮证据）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线上问卷+城市地标现场（跨年）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🔶"仪式感消费"（媒体/新消费观察）；✅情绪经济27186亿元（已核验）；✅"i人经济"独处消费（第五六轮证据）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