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411. “怀旧消费，回到过去”——怀旧经济（复古磁带、旧货、老式游戏机）消费行为研究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研究对象：购买/收藏怀旧物品的 20—40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核心问题/变量：怀旧品类（CD/磁带/老玩具）、购买渠道（中古店/线上）、情感动机、价格接受、社交分享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H1：怀旧品类（CD/磁带/老玩具）、购买渠道（中古店/线上）显著影响社交分享（待验证）；H2：不同人群（年龄/收入/城市等级）在上述关系中存在调节作用（待验证）。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🔶怀旧经济（"复古潮"媒体需引原文）；✅情绪经济27186亿（已核验）；✅二手交易破3万亿（第十三批证据，怀旧流通通道）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中古/怀旧主题店铺+线上社群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🔶怀旧经济（"复古潮"媒体需引原文）；✅情绪经济27186亿（已核验）；✅二手交易破3万亿（第十三批证据，怀旧流通通道）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