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413. “手账本里的精致生活”——手账、文具文创消费行为研究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研究对象：使用手账/胶带/文具的 15—35 岁消费者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核心问题/变量：手账用途（日程/日记/拼贴）、年度文具花费、国产文创品牌选择、线下文具店体验、复购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H1：手账用途（日程/日记/拼贴）、年度文具花费显著影响复购（待验证）；H2：不同人群（年龄/收入/城市等级）在上述关系中存在调节作用（待验证）。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🔶手账/文具市场（行业报告需核验）；✅"文具文创化"趋势（得力/晨光转型案例媒体）；✅情绪消费与悦己（已核验）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文创文具店现场+手账社群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🔶手账/文具市场（行业报告需核验）；✅"文具文创化"趋势（得力/晨光转型案例媒体）；✅情绪消费与悦己（已核验）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