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471. “IP 联名，一杯难求”——品牌IP联名（奶茶、快餐、盲盒）消费研究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研究对象：为IP联名（动漫/游戏/影视）买单的 15—35 岁消费者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核心问题/变量：联名产品购买动机、溢价接受、收藏与使用、社交媒体晒单、消费频次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H1：联名产品购买动机、溢价接受显著影响消费频次（待验证）；H2：不同人群（年龄/收入/城市等级）在上述关系中存在调节作用（待验证）。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🔶IP联名经济（新茶饮联名案例媒体需核验）；✅谷子经济破百亿（第七轮已核验）；✅情绪消费（已核验）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联名门店现场+线上社群；与206-210（三坑）区分：聚焦联名营销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🔶IP联名经济（新茶饮联名案例媒体需核验）；✅谷子经济破百亿（第七轮已核验）；✅情绪消费（已核验）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