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498. “卡牌评级，身价几何”——收藏卡牌评级、送评消费（PSA、CGC类）研究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研究对象：拆卡/集卡（球星卡/奥特曼卡/TCG）的爱好者及家长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核心问题/变量：拆卡动机（收集/赌博感/社交）、单卡价格、稀有卡交易（评级）、青少年参与、理性边界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拆卡动机（收集/赌博感/社交）、单卡价格（理性边界）之间存在可检验的关系，且受群体差异（年龄/收入/地区/身份）调节（待验证）；H2：拆卡动机（收集/赌博感/社交）、单卡价格是影响理性边界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🔶球星卡市场暴涨（Panini/Topps中国数据媒体需核验）；✅卡牌出版（"卡游"上市媒体）；✅未成年人拆卡监管讨论（媒体）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卡牌店/拆卡直播间渠道；与156题（卡牌桌游）区分：聚焦收藏卡市场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🔶球星卡市场暴涨（Panini/Topps中国数据媒体需核验）；✅卡牌出版（"卡游"上市媒体）；✅未成年人拆卡监管讨论（媒体）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