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507. “电子木鱼，赛博祈福”——青年数字灵修、赛博许愿消费研究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研究对象：使用电子木鱼、赛博功德、线上祈福等数字灵修工具的年轻人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核心问题/变量：使用动机（解压/仪式感/流行从众）、为数字祈福的付费意愿（虚拟香火、会员）、对“数字迷信”的自我认知、圈层传播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H1：使用动机（解压/仪式感/流行从众）、为数字祈福的付费意愿（虚拟香火显著影响圈层传播（待验证）；H2：不同人群（年龄/收入/城市等级）在上述关系中存在调节作用（待验证）。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🔶电子木鱼等数字灵修产品走红报道（媒体，须下载核验）；✅青年情绪消费与心理健康政策（已有线索）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应用商店/社交平台社群问卷；与140（祈福手串实体）区分：聚焦数字灵修；与034（疗愈）区分：突出现象学视角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🔶电子木鱼等数字灵修产品走红报道（媒体，须下载核验）；✅青年情绪消费与心理健康政策（已有线索）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