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603. “谷子改娃，二次元手工”——谷圈改娃、捏土手作等衍生创作消费研究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研究对象：参与改娃（娃娃改造）、捏土、道具制作等谷圈手工的爱好者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核心问题/变量：改娃动机（个性化/创作表达）、工具材料消费、教程付费、圈层分享、成品交易、时间投入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H1：改娃动机（个性化/创作表达）、工具材料消费显著影响时间投入（待验证）；H2：不同人群（年龄/收入/城市等级）在上述关系中存在调节作用（待验证）。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🔶改娃/手作圈层报道（行业媒体须下载核验）；✅知识产权与二次创作边界（民法典）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改娃社群问卷+手作材料商家访谈；区别于032（谷子购买）聚焦改娃创作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🔶改娃/手作圈层报道（行业媒体须下载核验）；✅知识产权与二次创作边界（民法典）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